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0883" w14:textId="696B4926" w:rsidR="00B01B3A" w:rsidRDefault="004F63D2" w:rsidP="00B01B3A">
      <w:pPr>
        <w:pStyle w:val="StandardWeb"/>
        <w:spacing w:before="60" w:beforeAutospacing="0" w:after="0" w:afterAutospacing="0"/>
        <w:textAlignment w:val="baseline"/>
        <w:rPr>
          <w:rFonts w:ascii="Calibri Light" w:hAnsi="Calibri Light"/>
          <w:color w:val="000000" w:themeColor="text1"/>
          <w:sz w:val="56"/>
          <w:szCs w:val="56"/>
        </w:rPr>
      </w:pPr>
      <w:r>
        <w:rPr>
          <w:rFonts w:ascii="Calibri Light" w:hAnsi="Calibri Light"/>
          <w:noProof/>
          <w:color w:val="000000" w:themeColor="text1"/>
          <w:sz w:val="56"/>
          <w:szCs w:val="56"/>
        </w:rPr>
        <w:drawing>
          <wp:inline distT="0" distB="0" distL="0" distR="0" wp14:anchorId="1EB76A82" wp14:editId="004E5CE0">
            <wp:extent cx="2607318" cy="876300"/>
            <wp:effectExtent l="0" t="0" r="2540" b="0"/>
            <wp:docPr id="2124502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50" cy="88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EF91" w14:textId="77777777" w:rsidR="00B01B3A" w:rsidRDefault="00B01B3A" w:rsidP="00B01B3A">
      <w:pPr>
        <w:pStyle w:val="StandardWeb"/>
        <w:spacing w:before="60" w:beforeAutospacing="0" w:after="0" w:afterAutospacing="0"/>
        <w:textAlignment w:val="baseline"/>
        <w:rPr>
          <w:rFonts w:ascii="Calibri Light" w:hAnsi="Calibri Light"/>
          <w:color w:val="000000" w:themeColor="text1"/>
          <w:sz w:val="56"/>
          <w:szCs w:val="56"/>
        </w:rPr>
      </w:pPr>
    </w:p>
    <w:p w14:paraId="5CC914E4" w14:textId="3BDE4A8E" w:rsidR="00B01B3A" w:rsidRPr="004F63D2" w:rsidRDefault="00B01B3A" w:rsidP="00B01B3A">
      <w:pPr>
        <w:pStyle w:val="StandardWeb"/>
        <w:spacing w:before="60" w:beforeAutospacing="0" w:after="0" w:afterAutospacing="0"/>
        <w:textAlignment w:val="baseline"/>
        <w:rPr>
          <w:sz w:val="18"/>
          <w:szCs w:val="18"/>
          <w:lang w:val="de-DE"/>
        </w:rPr>
      </w:pPr>
      <w:r w:rsidRPr="004F63D2">
        <w:rPr>
          <w:rFonts w:ascii="Calibri Light" w:hAnsi="Calibri Light"/>
          <w:color w:val="000000" w:themeColor="text1"/>
          <w:sz w:val="52"/>
          <w:szCs w:val="52"/>
          <w:lang w:val="de-DE"/>
        </w:rPr>
        <w:t>MEDIENINFORMATION</w:t>
      </w:r>
    </w:p>
    <w:p w14:paraId="17596D76" w14:textId="77777777" w:rsidR="00B01B3A" w:rsidRDefault="00B01B3A" w:rsidP="005F7AA9">
      <w:pPr>
        <w:rPr>
          <w:sz w:val="28"/>
          <w:szCs w:val="32"/>
        </w:rPr>
      </w:pPr>
    </w:p>
    <w:p w14:paraId="051B38FA" w14:textId="5850304A" w:rsidR="005F7AA9" w:rsidRPr="00DC2AE6" w:rsidRDefault="005F7AA9" w:rsidP="005F7AA9">
      <w:pPr>
        <w:rPr>
          <w:sz w:val="28"/>
          <w:szCs w:val="32"/>
        </w:rPr>
      </w:pPr>
      <w:r w:rsidRPr="00DC2AE6">
        <w:rPr>
          <w:sz w:val="28"/>
          <w:szCs w:val="32"/>
        </w:rPr>
        <w:t>Silver Atena präsentiert iONiX Ladesäulen auf der</w:t>
      </w:r>
      <w:r w:rsidR="00DC2AE6">
        <w:rPr>
          <w:sz w:val="28"/>
          <w:szCs w:val="32"/>
        </w:rPr>
        <w:t xml:space="preserve"> </w:t>
      </w:r>
      <w:r w:rsidR="00DC2AE6" w:rsidRPr="00DC2AE6">
        <w:rPr>
          <w:sz w:val="28"/>
          <w:szCs w:val="32"/>
        </w:rPr>
        <w:t xml:space="preserve">Landshuter </w:t>
      </w:r>
      <w:r w:rsidRPr="00DC2AE6">
        <w:rPr>
          <w:sz w:val="28"/>
          <w:szCs w:val="32"/>
        </w:rPr>
        <w:t>Umweltmesse 2025</w:t>
      </w:r>
      <w:r w:rsidR="008A6C38" w:rsidRPr="00DC2AE6">
        <w:rPr>
          <w:sz w:val="24"/>
          <w:szCs w:val="28"/>
        </w:rPr>
        <w:br/>
      </w:r>
    </w:p>
    <w:p w14:paraId="006591BC" w14:textId="53433432" w:rsidR="005F7AA9" w:rsidRPr="008A6C38" w:rsidRDefault="005F7AA9" w:rsidP="005F7AA9">
      <w:pPr>
        <w:rPr>
          <w:b/>
          <w:bCs/>
        </w:rPr>
      </w:pPr>
      <w:r w:rsidRPr="008A6C38">
        <w:rPr>
          <w:b/>
          <w:bCs/>
        </w:rPr>
        <w:t xml:space="preserve">Landshut, 14. Januar 2025 – Silver Atena, </w:t>
      </w:r>
      <w:r w:rsidR="008A6C38" w:rsidRPr="008A6C38">
        <w:rPr>
          <w:b/>
          <w:bCs/>
        </w:rPr>
        <w:t>mehrfach für Innovation und Nachhaltigkeit ausgezeichneter Technologie- und Innovationsführer im Bereich ausfallsicherer Systeme und Leistungselektronik</w:t>
      </w:r>
      <w:r w:rsidRPr="008A6C38">
        <w:rPr>
          <w:b/>
          <w:bCs/>
        </w:rPr>
        <w:t xml:space="preserve">, stellt auf der diesjährigen </w:t>
      </w:r>
      <w:r w:rsidR="00DD05AC" w:rsidRPr="00DD05AC">
        <w:rPr>
          <w:b/>
          <w:bCs/>
          <w:i/>
          <w:iCs/>
        </w:rPr>
        <w:t xml:space="preserve">Landshuter </w:t>
      </w:r>
      <w:r w:rsidRPr="00DD05AC">
        <w:rPr>
          <w:b/>
          <w:bCs/>
          <w:i/>
          <w:iCs/>
        </w:rPr>
        <w:t>Umweltmesse</w:t>
      </w:r>
      <w:r w:rsidRPr="008A6C38">
        <w:rPr>
          <w:b/>
          <w:bCs/>
        </w:rPr>
        <w:t xml:space="preserve"> </w:t>
      </w:r>
      <w:r w:rsidR="008A6C38" w:rsidRPr="008A6C38">
        <w:rPr>
          <w:b/>
          <w:bCs/>
        </w:rPr>
        <w:t>(</w:t>
      </w:r>
      <w:r w:rsidR="00DD05AC">
        <w:rPr>
          <w:b/>
          <w:bCs/>
        </w:rPr>
        <w:t>21. – 23. März 2025</w:t>
      </w:r>
      <w:r w:rsidR="008A6C38" w:rsidRPr="008A6C38">
        <w:rPr>
          <w:b/>
          <w:bCs/>
        </w:rPr>
        <w:t xml:space="preserve">) </w:t>
      </w:r>
      <w:r w:rsidRPr="008A6C38">
        <w:rPr>
          <w:b/>
          <w:bCs/>
        </w:rPr>
        <w:t xml:space="preserve">seine neuesten Ladelösungen vor: die </w:t>
      </w:r>
      <w:r w:rsidR="005A103D" w:rsidRPr="008A6C38">
        <w:rPr>
          <w:b/>
          <w:bCs/>
        </w:rPr>
        <w:t>leistungsstarken</w:t>
      </w:r>
      <w:r w:rsidRPr="008A6C38">
        <w:rPr>
          <w:b/>
          <w:bCs/>
        </w:rPr>
        <w:t xml:space="preserve"> iONiX DC-Ladesäulen </w:t>
      </w:r>
      <w:r w:rsidR="00F461C4" w:rsidRPr="008A6C38">
        <w:rPr>
          <w:b/>
          <w:bCs/>
        </w:rPr>
        <w:t>AVA</w:t>
      </w:r>
      <w:r w:rsidRPr="008A6C38">
        <w:rPr>
          <w:b/>
          <w:bCs/>
        </w:rPr>
        <w:t xml:space="preserve"> 25 kW und </w:t>
      </w:r>
      <w:r w:rsidR="00F461C4" w:rsidRPr="008A6C38">
        <w:rPr>
          <w:b/>
          <w:bCs/>
        </w:rPr>
        <w:t xml:space="preserve">BEYOND </w:t>
      </w:r>
      <w:r w:rsidRPr="008A6C38">
        <w:rPr>
          <w:b/>
          <w:bCs/>
        </w:rPr>
        <w:t xml:space="preserve">50 kW. Diese Produkte </w:t>
      </w:r>
      <w:r w:rsidR="00F461C4" w:rsidRPr="008A6C38">
        <w:rPr>
          <w:b/>
          <w:bCs/>
        </w:rPr>
        <w:t xml:space="preserve">sind die </w:t>
      </w:r>
      <w:r w:rsidRPr="008A6C38">
        <w:rPr>
          <w:b/>
          <w:bCs/>
        </w:rPr>
        <w:t xml:space="preserve">ideale Lösung für </w:t>
      </w:r>
      <w:r w:rsidR="00F461C4" w:rsidRPr="008A6C38">
        <w:rPr>
          <w:b/>
          <w:bCs/>
        </w:rPr>
        <w:t xml:space="preserve">Kundenparkplätze in </w:t>
      </w:r>
      <w:r w:rsidRPr="008A6C38">
        <w:rPr>
          <w:b/>
          <w:bCs/>
        </w:rPr>
        <w:t>Unternehmen</w:t>
      </w:r>
      <w:r w:rsidR="00F461C4" w:rsidRPr="008A6C38">
        <w:rPr>
          <w:b/>
          <w:bCs/>
        </w:rPr>
        <w:t>, Supermärkten, Restaurants</w:t>
      </w:r>
      <w:r w:rsidRPr="008A6C38">
        <w:rPr>
          <w:b/>
          <w:bCs/>
        </w:rPr>
        <w:t xml:space="preserve"> </w:t>
      </w:r>
      <w:r w:rsidR="00613ACF" w:rsidRPr="008A6C38">
        <w:rPr>
          <w:b/>
          <w:bCs/>
        </w:rPr>
        <w:t>sowie öffentlichen Parkplätzen.</w:t>
      </w:r>
    </w:p>
    <w:p w14:paraId="0C3F2989" w14:textId="77777777" w:rsidR="00E55D88" w:rsidRDefault="00E55D88" w:rsidP="005F7AA9"/>
    <w:p w14:paraId="01A284E4" w14:textId="337F1B9E" w:rsidR="008A6C38" w:rsidRDefault="00CE739E" w:rsidP="008A6C38">
      <w:r w:rsidRPr="00CE739E">
        <w:t>iONiX steht für schnelles Laden mit 25 oder 50 kW in bestechendem Design.</w:t>
      </w:r>
      <w:r>
        <w:t xml:space="preserve"> Damit</w:t>
      </w:r>
      <w:r w:rsidR="008A6C38" w:rsidRPr="005F7AA9">
        <w:t xml:space="preserve"> biete</w:t>
      </w:r>
      <w:r w:rsidR="008A6C38">
        <w:t xml:space="preserve">t das Münchner Unternehmen Silver Atena </w:t>
      </w:r>
      <w:r w:rsidR="008A6C38" w:rsidRPr="005F7AA9">
        <w:t xml:space="preserve">eine </w:t>
      </w:r>
      <w:r w:rsidR="008A6C38">
        <w:t xml:space="preserve">leistungsstarke, </w:t>
      </w:r>
      <w:r w:rsidR="008A6C38" w:rsidRPr="005F7AA9">
        <w:t>skalierbare</w:t>
      </w:r>
      <w:r w:rsidR="008A6C38">
        <w:t>, zukunftssichere</w:t>
      </w:r>
      <w:r w:rsidR="008A6C38" w:rsidRPr="005F7AA9">
        <w:t xml:space="preserve"> und kosteneffiziente Lösung</w:t>
      </w:r>
      <w:r w:rsidR="008A6C38">
        <w:t xml:space="preserve"> für die</w:t>
      </w:r>
      <w:r w:rsidR="008A6C38" w:rsidRPr="005F7AA9">
        <w:t xml:space="preserve"> </w:t>
      </w:r>
      <w:r w:rsidR="008A6C38">
        <w:t>steigenden Anforderungen</w:t>
      </w:r>
      <w:r w:rsidR="008A6C38" w:rsidRPr="005F7AA9">
        <w:t xml:space="preserve"> </w:t>
      </w:r>
      <w:r w:rsidR="008A6C38">
        <w:t xml:space="preserve">an die </w:t>
      </w:r>
      <w:r w:rsidR="008A6C38" w:rsidRPr="005F7AA9">
        <w:t>Ladeinfrastruktur</w:t>
      </w:r>
      <w:r w:rsidRPr="00CE739E">
        <w:t>.</w:t>
      </w:r>
      <w:r>
        <w:t xml:space="preserve"> D</w:t>
      </w:r>
      <w:r w:rsidR="008A6C38">
        <w:t xml:space="preserve">ie iONiX BEYOND </w:t>
      </w:r>
      <w:r>
        <w:t>ermöglicht m</w:t>
      </w:r>
      <w:r w:rsidRPr="005F7AA9">
        <w:t xml:space="preserve">it </w:t>
      </w:r>
      <w:r>
        <w:t xml:space="preserve">einer Leistung von 50 kW </w:t>
      </w:r>
      <w:r w:rsidR="008A6C38">
        <w:t xml:space="preserve">innerhalb einer Stunde bis </w:t>
      </w:r>
      <w:r w:rsidR="008A6C38" w:rsidRPr="005F7AA9">
        <w:t xml:space="preserve">zu 250 Kilometer </w:t>
      </w:r>
      <w:r w:rsidR="008A6C38">
        <w:t xml:space="preserve">zusätzliche </w:t>
      </w:r>
      <w:r w:rsidR="008A6C38" w:rsidRPr="005F7AA9">
        <w:t xml:space="preserve">Reichweite </w:t>
      </w:r>
      <w:r w:rsidR="008A6C38">
        <w:t xml:space="preserve">für </w:t>
      </w:r>
      <w:r w:rsidR="00014E02">
        <w:t xml:space="preserve">ein </w:t>
      </w:r>
      <w:r w:rsidR="008A6C38">
        <w:t>E-Fahrzeug.</w:t>
      </w:r>
      <w:r w:rsidR="008A6C38" w:rsidRPr="005F7AA9">
        <w:t xml:space="preserve"> </w:t>
      </w:r>
    </w:p>
    <w:p w14:paraId="31B577EE" w14:textId="41B944BD" w:rsidR="005F7AA9" w:rsidRPr="005F7AA9" w:rsidRDefault="005F7AA9" w:rsidP="005F7AA9">
      <w:pPr>
        <w:rPr>
          <w:b/>
          <w:bCs/>
        </w:rPr>
      </w:pPr>
    </w:p>
    <w:p w14:paraId="19C6A71A" w14:textId="0DB5E439" w:rsidR="005F7AA9" w:rsidRPr="005F7AA9" w:rsidRDefault="005F7AA9" w:rsidP="005F7AA9">
      <w:pPr>
        <w:rPr>
          <w:b/>
          <w:bCs/>
        </w:rPr>
      </w:pPr>
      <w:r w:rsidRPr="005F7AA9">
        <w:rPr>
          <w:b/>
          <w:bCs/>
        </w:rPr>
        <w:t>Leistungsstark</w:t>
      </w:r>
      <w:r w:rsidR="008926B7">
        <w:rPr>
          <w:b/>
          <w:bCs/>
        </w:rPr>
        <w:t>, benutzerfreundlich und innovativ</w:t>
      </w:r>
    </w:p>
    <w:p w14:paraId="1DC276F9" w14:textId="52562478" w:rsidR="00DD05AC" w:rsidRDefault="00DD05AC" w:rsidP="00DD05AC">
      <w:r w:rsidRPr="00DD05AC">
        <w:t>Die iO</w:t>
      </w:r>
      <w:r>
        <w:t xml:space="preserve">NiX überzeugt durch besonders benutzerfreundliche Merkmale. </w:t>
      </w:r>
      <w:r w:rsidR="00BA4C0D">
        <w:t>Eine integrierte Umfeldbeleuchtung erhöht Komfort und Sicherheit bei Nacht und ihre Verfügbarkeit wird durch ein Statuslicht weithin sichtbar angezeigt.</w:t>
      </w:r>
    </w:p>
    <w:p w14:paraId="2E0629BF" w14:textId="525A6F67" w:rsidR="00DD05AC" w:rsidRDefault="00941AD9" w:rsidP="00DD05AC">
      <w:r>
        <w:t xml:space="preserve">Über </w:t>
      </w:r>
      <w:r w:rsidR="000D5849">
        <w:t>den</w:t>
      </w:r>
      <w:r>
        <w:t xml:space="preserve"> 10-Zoll Touch Screen </w:t>
      </w:r>
      <w:r w:rsidR="000515B6">
        <w:t xml:space="preserve">lässt sich der Ladevorgang intuitiv starten und bezahlen </w:t>
      </w:r>
      <w:r w:rsidR="00671B05">
        <w:t xml:space="preserve">und </w:t>
      </w:r>
      <w:r w:rsidR="009A5A1D">
        <w:t>der</w:t>
      </w:r>
      <w:r w:rsidR="009B4238">
        <w:t xml:space="preserve"> Ladestatus</w:t>
      </w:r>
      <w:r w:rsidR="007A7547">
        <w:t xml:space="preserve"> wird</w:t>
      </w:r>
      <w:r w:rsidR="009B4238">
        <w:t xml:space="preserve"> an</w:t>
      </w:r>
      <w:r w:rsidR="009A5A1D">
        <w:t>ge</w:t>
      </w:r>
      <w:r w:rsidR="009B4238">
        <w:t>zeigt</w:t>
      </w:r>
      <w:r w:rsidR="000515B6">
        <w:t>.</w:t>
      </w:r>
      <w:r w:rsidR="00DD05AC" w:rsidRPr="00DD05AC">
        <w:t xml:space="preserve"> </w:t>
      </w:r>
    </w:p>
    <w:p w14:paraId="7270A180" w14:textId="5A1AEB0A" w:rsidR="00DC2AE6" w:rsidRDefault="008C00BA" w:rsidP="00DC2AE6">
      <w:r>
        <w:t>Die iONiX-Produkte sind eichrechtskonform</w:t>
      </w:r>
      <w:r w:rsidR="001A3909">
        <w:t>, äußerst geräuscharm</w:t>
      </w:r>
      <w:r>
        <w:t xml:space="preserve"> und </w:t>
      </w:r>
      <w:r w:rsidR="001A3909">
        <w:t>überzeugen durch ihr preisgekröntes Design.</w:t>
      </w:r>
      <w:r w:rsidR="00DC2AE6" w:rsidRPr="00DC2AE6">
        <w:t xml:space="preserve"> </w:t>
      </w:r>
      <w:proofErr w:type="spellStart"/>
      <w:r w:rsidR="00DC2AE6">
        <w:t>Plug&amp;Charge</w:t>
      </w:r>
      <w:proofErr w:type="spellEnd"/>
      <w:r w:rsidR="00DC2AE6">
        <w:t xml:space="preserve"> und das vorbereitete bidirektionale Laden machen die Investition zukunftssicher.</w:t>
      </w:r>
    </w:p>
    <w:p w14:paraId="2DD7493A" w14:textId="72BAB95E" w:rsidR="00624924" w:rsidRDefault="00624924" w:rsidP="005F7AA9">
      <w:r>
        <w:t>Als Option wird ein 55-Zoll Werbedisplay angeboten. Dies ermöglicht es</w:t>
      </w:r>
      <w:r w:rsidR="000515B6">
        <w:t>,</w:t>
      </w:r>
      <w:r>
        <w:t xml:space="preserve"> nutzerspezifische Informationen oder Werbung anzuzeigen und so zusätzlich Umsatz zu generieren oder die Kundenbindung zu erhöhen. </w:t>
      </w:r>
    </w:p>
    <w:p w14:paraId="3A979DC1" w14:textId="77777777" w:rsidR="00DD05AC" w:rsidRDefault="00DD05AC" w:rsidP="005F7AA9"/>
    <w:p w14:paraId="0035162B" w14:textId="77777777" w:rsidR="00DD05AC" w:rsidRDefault="00DD05AC" w:rsidP="00DD05AC">
      <w:pPr>
        <w:rPr>
          <w:b/>
          <w:bCs/>
        </w:rPr>
      </w:pPr>
      <w:r>
        <w:rPr>
          <w:b/>
          <w:bCs/>
        </w:rPr>
        <w:t>Schnelle und kostengünstige Installation</w:t>
      </w:r>
    </w:p>
    <w:p w14:paraId="0FA014CA" w14:textId="77777777" w:rsidR="00DD05AC" w:rsidRPr="005F7AA9" w:rsidRDefault="00DD05AC" w:rsidP="00DD05AC">
      <w:r w:rsidRPr="005F7AA9">
        <w:t xml:space="preserve">Die iONiX Ladesäulen lassen sich problemlos in </w:t>
      </w:r>
      <w:r>
        <w:t>die bereits vorhandenen</w:t>
      </w:r>
      <w:r w:rsidRPr="005F7AA9">
        <w:t xml:space="preserve"> Infrastrukturen integrieren. Die Modelle</w:t>
      </w:r>
      <w:r>
        <w:t xml:space="preserve"> </w:t>
      </w:r>
      <w:r w:rsidRPr="005F7AA9">
        <w:t>erfordern in der Regel keine aufw</w:t>
      </w:r>
      <w:r>
        <w:t>ä</w:t>
      </w:r>
      <w:r w:rsidRPr="005F7AA9">
        <w:t>ndigen Netzaufrüstungen</w:t>
      </w:r>
      <w:r>
        <w:t xml:space="preserve"> und</w:t>
      </w:r>
      <w:r w:rsidRPr="005F7AA9">
        <w:t xml:space="preserve"> </w:t>
      </w:r>
      <w:r>
        <w:t xml:space="preserve">erlauben daher </w:t>
      </w:r>
      <w:r w:rsidRPr="005F7AA9">
        <w:t>eine zügige</w:t>
      </w:r>
      <w:r>
        <w:t xml:space="preserve"> und kostengünstige</w:t>
      </w:r>
      <w:r w:rsidRPr="005F7AA9">
        <w:t xml:space="preserve"> Installation</w:t>
      </w:r>
      <w:r>
        <w:t>. Das integrierte Lastmanagement sorgt für eine intelligente Verteilung der verfügbaren Anschlussleistung</w:t>
      </w:r>
      <w:r w:rsidRPr="00671B05">
        <w:t xml:space="preserve"> </w:t>
      </w:r>
      <w:r>
        <w:t>beim Einsatz mehrerer iONiX Ladestationen.</w:t>
      </w:r>
    </w:p>
    <w:p w14:paraId="4FD1D020" w14:textId="77777777" w:rsidR="00283A11" w:rsidRDefault="00283A11" w:rsidP="005F7AA9">
      <w:pPr>
        <w:rPr>
          <w:b/>
          <w:bCs/>
        </w:rPr>
      </w:pPr>
    </w:p>
    <w:p w14:paraId="26157548" w14:textId="07D83C95" w:rsidR="005F7AA9" w:rsidRPr="005F7AA9" w:rsidRDefault="002D6839" w:rsidP="005F7AA9">
      <w:pPr>
        <w:rPr>
          <w:b/>
          <w:bCs/>
        </w:rPr>
      </w:pPr>
      <w:r>
        <w:rPr>
          <w:b/>
          <w:bCs/>
        </w:rPr>
        <w:t xml:space="preserve">Schnelle und </w:t>
      </w:r>
      <w:r w:rsidR="005F7AA9" w:rsidRPr="005F7AA9">
        <w:rPr>
          <w:b/>
          <w:bCs/>
        </w:rPr>
        <w:t>wirtschaftliche Lösung</w:t>
      </w:r>
    </w:p>
    <w:p w14:paraId="7CCCB4D4" w14:textId="6E2F1B68" w:rsidR="00FF1F8E" w:rsidRPr="006119C1" w:rsidRDefault="005F7AA9" w:rsidP="00AD2B36">
      <w:r w:rsidRPr="005F7AA9">
        <w:t xml:space="preserve">Im Vergleich zu </w:t>
      </w:r>
      <w:r w:rsidR="00BB3A5E">
        <w:t xml:space="preserve">High Power </w:t>
      </w:r>
      <w:proofErr w:type="spellStart"/>
      <w:r w:rsidR="00BB3A5E">
        <w:t>Chargern</w:t>
      </w:r>
      <w:proofErr w:type="spellEnd"/>
      <w:r w:rsidR="00BB3A5E">
        <w:t xml:space="preserve"> </w:t>
      </w:r>
      <w:r w:rsidRPr="005F7AA9">
        <w:t xml:space="preserve">sind die </w:t>
      </w:r>
      <w:r w:rsidR="002D6839">
        <w:t>iONiX-</w:t>
      </w:r>
      <w:r w:rsidRPr="005F7AA9">
        <w:t>Modelle günstig</w:t>
      </w:r>
      <w:r w:rsidR="00CE739E">
        <w:t>er</w:t>
      </w:r>
      <w:r w:rsidRPr="005F7AA9">
        <w:t xml:space="preserve"> in der </w:t>
      </w:r>
      <w:r w:rsidR="004D4B49">
        <w:t>Anschaffung, der Investition in Netzinfrastruktur</w:t>
      </w:r>
      <w:r w:rsidR="00AD2B36">
        <w:t xml:space="preserve"> </w:t>
      </w:r>
      <w:r w:rsidRPr="005F7AA9">
        <w:t xml:space="preserve">und im </w:t>
      </w:r>
      <w:r w:rsidR="002D6839">
        <w:t xml:space="preserve">laufenden </w:t>
      </w:r>
      <w:r w:rsidRPr="005F7AA9">
        <w:t>Betrieb</w:t>
      </w:r>
      <w:r w:rsidR="002D6839">
        <w:t>.</w:t>
      </w:r>
      <w:r w:rsidR="00AD2B36">
        <w:t xml:space="preserve"> </w:t>
      </w:r>
      <w:r w:rsidR="004278F9">
        <w:t xml:space="preserve">Eine schnelle Umsetzung der </w:t>
      </w:r>
      <w:r w:rsidR="00AD2B36">
        <w:t>gewünschten</w:t>
      </w:r>
      <w:r w:rsidR="004278F9">
        <w:t xml:space="preserve"> Ladelösung ist daher ohne großen Aufwand in Planung und Infrastruktur möglich.</w:t>
      </w:r>
      <w:r w:rsidRPr="005F7AA9">
        <w:t xml:space="preserve"> </w:t>
      </w:r>
      <w:r w:rsidR="00F72DDC">
        <w:t xml:space="preserve">Durch zusätzliche Einnahmen aus THG-Quoten verkürzt sich die Amortisationsdauer der Investition noch zusätzlich. </w:t>
      </w:r>
    </w:p>
    <w:p w14:paraId="2041224D" w14:textId="58E4AE39" w:rsidR="005F7AA9" w:rsidRPr="005F7AA9" w:rsidRDefault="005F7AA9" w:rsidP="005F7AA9"/>
    <w:p w14:paraId="0BD2EE2E" w14:textId="77777777" w:rsidR="00DD05AC" w:rsidRPr="005F7AA9" w:rsidRDefault="00DD05AC" w:rsidP="00DD05AC">
      <w:pPr>
        <w:rPr>
          <w:b/>
          <w:bCs/>
        </w:rPr>
      </w:pPr>
      <w:r w:rsidRPr="005F7AA9">
        <w:rPr>
          <w:b/>
          <w:bCs/>
        </w:rPr>
        <w:t>Nachhaltig</w:t>
      </w:r>
      <w:r>
        <w:rPr>
          <w:b/>
          <w:bCs/>
        </w:rPr>
        <w:t xml:space="preserve"> und regional</w:t>
      </w:r>
    </w:p>
    <w:p w14:paraId="3608080B" w14:textId="77777777" w:rsidR="00DD05AC" w:rsidRDefault="00DD05AC" w:rsidP="00DD05AC">
      <w:r w:rsidRPr="005F7AA9">
        <w:t xml:space="preserve">Die iONiX Ladesäulen werden in Deutschland entwickelt und produziert, </w:t>
      </w:r>
      <w:r>
        <w:t xml:space="preserve">und leisten somit </w:t>
      </w:r>
      <w:r w:rsidRPr="005F7AA9">
        <w:t xml:space="preserve">einen Beitrag zur regionalen Wertschöpfung. </w:t>
      </w:r>
      <w:r>
        <w:t xml:space="preserve">Für </w:t>
      </w:r>
      <w:r w:rsidRPr="006C119F">
        <w:t xml:space="preserve">herausragende Leistungen in den Bereichen Umwelt, Arbeitspraktiken, Ethik und nachhaltige Beschaffung </w:t>
      </w:r>
      <w:r>
        <w:t xml:space="preserve">wurde Silver Atena mit Top Ratings wie </w:t>
      </w:r>
      <w:proofErr w:type="spellStart"/>
      <w:r>
        <w:t>EcoVadis</w:t>
      </w:r>
      <w:proofErr w:type="spellEnd"/>
      <w:r>
        <w:t xml:space="preserve"> Gold und mehreren Preisen, wie den ESG Transparency Award und Corporate Health Award, ausgezeichnet.</w:t>
      </w:r>
    </w:p>
    <w:p w14:paraId="7DCDA0F6" w14:textId="5092AF07" w:rsidR="005F7AA9" w:rsidRPr="005F7AA9" w:rsidRDefault="005F7AA9" w:rsidP="005F7AA9">
      <w:pPr>
        <w:rPr>
          <w:b/>
          <w:bCs/>
        </w:rPr>
      </w:pPr>
    </w:p>
    <w:p w14:paraId="54A4F806" w14:textId="77777777" w:rsidR="005F7AA9" w:rsidRPr="005F7AA9" w:rsidRDefault="005F7AA9" w:rsidP="005F7AA9">
      <w:pPr>
        <w:rPr>
          <w:b/>
          <w:bCs/>
        </w:rPr>
      </w:pPr>
      <w:r w:rsidRPr="005F7AA9">
        <w:rPr>
          <w:b/>
          <w:bCs/>
        </w:rPr>
        <w:t>Über Silver Atena</w:t>
      </w:r>
    </w:p>
    <w:p w14:paraId="752CE696" w14:textId="2A1EBA64" w:rsidR="00C45CD8" w:rsidRPr="00C45CD8" w:rsidRDefault="00C45CD8" w:rsidP="00C45CD8">
      <w:r w:rsidRPr="00C45CD8">
        <w:t xml:space="preserve">Seit mehr als 25 Jahren ist Silver Atena </w:t>
      </w:r>
      <w:r w:rsidR="00074D0C">
        <w:t>Technologie- und Innovationsführer</w:t>
      </w:r>
      <w:r w:rsidRPr="00C45CD8">
        <w:t xml:space="preserve"> im Bereich ausfallsicherer Systeme und Leistungselektronik in den Branchen Automotive, Luftfahrt, erneuerbare Energien und Industrie. Dabei bietet das Unternehmen alle Leistungen entlang der gesamten Wertschöpfungskette vom Systemkonzept bis zur Serienlieferung</w:t>
      </w:r>
      <w:r w:rsidR="00074D0C">
        <w:t>.</w:t>
      </w:r>
      <w:r w:rsidRPr="00C45CD8">
        <w:t xml:space="preserve"> Ein besonderer Fokus liegt auf den wichtigen Mobilitätsthemen </w:t>
      </w:r>
      <w:r w:rsidR="00074D0C">
        <w:t xml:space="preserve">wie </w:t>
      </w:r>
      <w:r w:rsidRPr="00C45CD8">
        <w:t xml:space="preserve">elektrischer Antrieb, </w:t>
      </w:r>
      <w:r w:rsidR="00BF64BF">
        <w:t xml:space="preserve">aktive </w:t>
      </w:r>
      <w:r w:rsidRPr="00C45CD8">
        <w:t>Fahrwerk</w:t>
      </w:r>
      <w:r w:rsidR="00BF64BF">
        <w:t>e</w:t>
      </w:r>
      <w:r w:rsidRPr="00C45CD8">
        <w:t xml:space="preserve">, Ladetechnologie und Wasserstoff. Als Wegbereiter der Urban Air Mobility liefert Silver Atena auch hocheffiziente Lösungen für innovative Flugzeugkonzepte. Weitere Informationen zur Silver Atena GmbH: </w:t>
      </w:r>
      <w:hyperlink r:id="rId8" w:history="1">
        <w:r w:rsidRPr="00C45CD8">
          <w:rPr>
            <w:rStyle w:val="Hyperlink"/>
          </w:rPr>
          <w:t>www.silver-atena.de</w:t>
        </w:r>
      </w:hyperlink>
    </w:p>
    <w:p w14:paraId="085C1B5F" w14:textId="77777777" w:rsidR="00C45CD8" w:rsidRDefault="00C45CD8" w:rsidP="005F7AA9">
      <w:pPr>
        <w:rPr>
          <w:b/>
          <w:bCs/>
        </w:rPr>
      </w:pPr>
    </w:p>
    <w:p w14:paraId="1A92C740" w14:textId="1C08601E" w:rsidR="005F7AA9" w:rsidRPr="005F7AA9" w:rsidRDefault="005F7AA9" w:rsidP="005F7AA9">
      <w:pPr>
        <w:rPr>
          <w:b/>
          <w:bCs/>
        </w:rPr>
      </w:pPr>
      <w:r w:rsidRPr="005F7AA9">
        <w:rPr>
          <w:b/>
          <w:bCs/>
        </w:rPr>
        <w:t>Besuchen Sie uns</w:t>
      </w:r>
    </w:p>
    <w:p w14:paraId="7C729E5E" w14:textId="287C3F6B" w:rsidR="00D85661" w:rsidRDefault="005F7AA9" w:rsidP="00461749">
      <w:r w:rsidRPr="005F7AA9">
        <w:t>Erleben S</w:t>
      </w:r>
      <w:r w:rsidR="00D85661">
        <w:t>ie</w:t>
      </w:r>
      <w:r w:rsidRPr="005F7AA9">
        <w:t xml:space="preserve"> die iONiX Ladesäulen </w:t>
      </w:r>
      <w:r w:rsidR="00D954B9">
        <w:t xml:space="preserve">und erfahren Sie mehr über das </w:t>
      </w:r>
      <w:r w:rsidR="009D51AE">
        <w:t xml:space="preserve">umfassende Produktportfolio der Silver Atena </w:t>
      </w:r>
      <w:r w:rsidRPr="005F7AA9">
        <w:t xml:space="preserve">auf der </w:t>
      </w:r>
      <w:r w:rsidR="00DD05AC">
        <w:t xml:space="preserve">Landshuter </w:t>
      </w:r>
      <w:r w:rsidRPr="005F7AA9">
        <w:t>Umweltmesse 2025</w:t>
      </w:r>
      <w:r w:rsidR="00461749">
        <w:t xml:space="preserve">. </w:t>
      </w:r>
    </w:p>
    <w:p w14:paraId="430E13E2" w14:textId="77777777" w:rsidR="00873423" w:rsidRDefault="00873423" w:rsidP="00461749"/>
    <w:p w14:paraId="489DDE35" w14:textId="77777777" w:rsidR="00873423" w:rsidRDefault="00873423" w:rsidP="00461749"/>
    <w:p w14:paraId="38A54DE5" w14:textId="1B52D186" w:rsidR="00873423" w:rsidRDefault="00873423" w:rsidP="00461749">
      <w:r>
        <w:t>Pressemeldung und Pressebilder finden Sie unter diesem Link:</w:t>
      </w:r>
      <w:r w:rsidR="00097B46">
        <w:br/>
      </w:r>
      <w:hyperlink r:id="rId9" w:tgtFrame="_blank" w:history="1">
        <w:r w:rsidR="00097B46" w:rsidRPr="00097B46">
          <w:rPr>
            <w:rStyle w:val="Hyperlink"/>
          </w:rPr>
          <w:t>https://www.ionix.de/?p=6746</w:t>
        </w:r>
      </w:hyperlink>
      <w:r>
        <w:br/>
      </w:r>
    </w:p>
    <w:p w14:paraId="5498CEAA" w14:textId="77777777" w:rsidR="00873423" w:rsidRDefault="00873423" w:rsidP="00461749"/>
    <w:p w14:paraId="294071AC" w14:textId="77777777" w:rsidR="009D51AE" w:rsidRDefault="009D51AE" w:rsidP="005F7AA9"/>
    <w:p w14:paraId="38582CAD" w14:textId="77777777" w:rsidR="00B01B3A" w:rsidRDefault="00B01B3A" w:rsidP="00B01B3A">
      <w:pPr>
        <w:tabs>
          <w:tab w:val="left" w:pos="2820"/>
        </w:tabs>
        <w:spacing w:after="120" w:line="240" w:lineRule="auto"/>
        <w:ind w:left="142"/>
        <w:jc w:val="both"/>
        <w:rPr>
          <w:rFonts w:cs="Arial"/>
          <w:b/>
          <w:color w:val="auto"/>
        </w:rPr>
        <w:sectPr w:rsidR="00B01B3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9F63A06" w14:textId="77777777" w:rsidR="00B01B3A" w:rsidRPr="00EA126A" w:rsidRDefault="00B01B3A" w:rsidP="00B01B3A">
      <w:pPr>
        <w:tabs>
          <w:tab w:val="left" w:pos="2820"/>
        </w:tabs>
        <w:spacing w:after="120" w:line="240" w:lineRule="auto"/>
        <w:ind w:left="142"/>
        <w:jc w:val="both"/>
        <w:rPr>
          <w:rFonts w:cs="Arial"/>
          <w:b/>
          <w:color w:val="auto"/>
        </w:rPr>
      </w:pPr>
    </w:p>
    <w:p w14:paraId="661CCCD9" w14:textId="77777777" w:rsidR="00B01B3A" w:rsidRPr="00AC71E4" w:rsidRDefault="00B01B3A" w:rsidP="00B01B3A">
      <w:pPr>
        <w:tabs>
          <w:tab w:val="left" w:pos="2820"/>
        </w:tabs>
        <w:spacing w:after="120" w:line="240" w:lineRule="auto"/>
        <w:ind w:left="142"/>
        <w:jc w:val="both"/>
        <w:rPr>
          <w:rFonts w:cs="Arial"/>
          <w:b/>
          <w:color w:val="auto"/>
        </w:rPr>
      </w:pPr>
      <w:r w:rsidRPr="00AC71E4">
        <w:rPr>
          <w:rFonts w:cs="Arial"/>
          <w:b/>
          <w:color w:val="auto"/>
        </w:rPr>
        <w:t>Pressekontakt:</w:t>
      </w:r>
    </w:p>
    <w:p w14:paraId="79EB9B69" w14:textId="77777777" w:rsidR="00B01B3A" w:rsidRPr="00AC71E4" w:rsidRDefault="00B01B3A" w:rsidP="00B01B3A">
      <w:pPr>
        <w:spacing w:after="0"/>
        <w:ind w:left="142"/>
        <w:rPr>
          <w:rFonts w:cs="Arial"/>
          <w:bCs/>
        </w:rPr>
      </w:pPr>
      <w:r w:rsidRPr="00AC71E4">
        <w:rPr>
          <w:rFonts w:cs="Arial"/>
          <w:bCs/>
        </w:rPr>
        <w:t xml:space="preserve">Wolfgang Lachermeier </w:t>
      </w:r>
    </w:p>
    <w:p w14:paraId="5EB611A4" w14:textId="77777777" w:rsidR="00B01B3A" w:rsidRPr="007F6B3B" w:rsidRDefault="00B01B3A" w:rsidP="00B01B3A">
      <w:pPr>
        <w:spacing w:after="0"/>
        <w:ind w:left="142"/>
        <w:rPr>
          <w:rFonts w:cs="Arial"/>
          <w:bCs/>
          <w:sz w:val="12"/>
        </w:rPr>
      </w:pPr>
      <w:r>
        <w:rPr>
          <w:rFonts w:cs="Arial"/>
          <w:bCs/>
        </w:rPr>
        <w:t>(</w:t>
      </w:r>
      <w:r w:rsidRPr="00AC71E4">
        <w:rPr>
          <w:rFonts w:cs="Arial"/>
          <w:bCs/>
        </w:rPr>
        <w:t>Marketing / Kommunikation</w:t>
      </w:r>
      <w:r>
        <w:rPr>
          <w:rFonts w:cs="Arial"/>
          <w:bCs/>
        </w:rPr>
        <w:t>)</w:t>
      </w:r>
      <w:r>
        <w:rPr>
          <w:rFonts w:cs="Arial"/>
          <w:bCs/>
        </w:rPr>
        <w:br/>
      </w:r>
    </w:p>
    <w:p w14:paraId="09CF9C38" w14:textId="77777777" w:rsidR="00B01B3A" w:rsidRPr="000E1308" w:rsidRDefault="00B01B3A" w:rsidP="00B01B3A">
      <w:pPr>
        <w:spacing w:after="0"/>
        <w:ind w:left="142"/>
        <w:rPr>
          <w:rFonts w:cs="Arial"/>
          <w:bCs/>
        </w:rPr>
      </w:pPr>
      <w:r w:rsidRPr="000E1308">
        <w:rPr>
          <w:rFonts w:cs="Arial"/>
          <w:bCs/>
        </w:rPr>
        <w:t xml:space="preserve">Phone: +49 89 189600 6917 </w:t>
      </w:r>
    </w:p>
    <w:p w14:paraId="7CA8C970" w14:textId="77777777" w:rsidR="00B01B3A" w:rsidRPr="000E1308" w:rsidRDefault="00B01B3A" w:rsidP="00B01B3A">
      <w:pPr>
        <w:spacing w:after="0"/>
        <w:ind w:left="142"/>
        <w:rPr>
          <w:rFonts w:cs="Arial"/>
          <w:bCs/>
        </w:rPr>
      </w:pPr>
      <w:hyperlink r:id="rId10" w:history="1">
        <w:r w:rsidRPr="000E1308">
          <w:rPr>
            <w:rStyle w:val="Hyperlink"/>
            <w:rFonts w:cs="Arial"/>
            <w:bCs/>
          </w:rPr>
          <w:t>w.lachermeier@silver-atena.de</w:t>
        </w:r>
      </w:hyperlink>
    </w:p>
    <w:p w14:paraId="7244B742" w14:textId="77777777" w:rsidR="00B01B3A" w:rsidRPr="000E1308" w:rsidRDefault="00B01B3A" w:rsidP="00B01B3A">
      <w:pPr>
        <w:spacing w:after="0"/>
        <w:ind w:left="142"/>
        <w:rPr>
          <w:rFonts w:cs="Arial"/>
          <w:b/>
          <w:bCs/>
        </w:rPr>
      </w:pPr>
      <w:r w:rsidRPr="000E1308">
        <w:rPr>
          <w:rFonts w:cs="Arial"/>
          <w:b/>
          <w:bCs/>
        </w:rPr>
        <w:br w:type="column"/>
      </w:r>
    </w:p>
    <w:p w14:paraId="51375CA1" w14:textId="77777777" w:rsidR="00B01B3A" w:rsidRPr="000E1308" w:rsidRDefault="00B01B3A" w:rsidP="00B01B3A">
      <w:pPr>
        <w:spacing w:after="0"/>
        <w:ind w:left="142"/>
        <w:rPr>
          <w:rFonts w:cs="Arial"/>
          <w:b/>
          <w:bCs/>
          <w:sz w:val="10"/>
          <w:szCs w:val="10"/>
        </w:rPr>
      </w:pPr>
    </w:p>
    <w:p w14:paraId="53E97DDB" w14:textId="77777777" w:rsidR="00B01B3A" w:rsidRPr="007F6B3B" w:rsidRDefault="00B01B3A" w:rsidP="00B01B3A">
      <w:pPr>
        <w:spacing w:after="120"/>
        <w:ind w:left="142"/>
        <w:rPr>
          <w:rFonts w:cs="Arial"/>
          <w:b/>
          <w:bCs/>
        </w:rPr>
      </w:pPr>
      <w:r w:rsidRPr="007F6B3B">
        <w:rPr>
          <w:rFonts w:cs="Arial"/>
          <w:b/>
          <w:bCs/>
        </w:rPr>
        <w:t>Silver Atena GmbH</w:t>
      </w:r>
    </w:p>
    <w:p w14:paraId="3F8E0D94" w14:textId="77777777" w:rsidR="00B01B3A" w:rsidRPr="007F6B3B" w:rsidRDefault="00B01B3A" w:rsidP="00B01B3A">
      <w:pPr>
        <w:spacing w:after="0"/>
        <w:ind w:left="142"/>
        <w:rPr>
          <w:rFonts w:cs="Arial"/>
          <w:bCs/>
        </w:rPr>
      </w:pPr>
      <w:r w:rsidRPr="007F6B3B">
        <w:rPr>
          <w:rFonts w:cs="Arial"/>
          <w:bCs/>
        </w:rPr>
        <w:t xml:space="preserve">Dachauer Str. 655 </w:t>
      </w:r>
    </w:p>
    <w:p w14:paraId="47ABCA7F" w14:textId="77777777" w:rsidR="00B01B3A" w:rsidRPr="007F6B3B" w:rsidRDefault="00B01B3A" w:rsidP="00B01B3A">
      <w:pPr>
        <w:spacing w:after="0"/>
        <w:ind w:left="142"/>
        <w:rPr>
          <w:rFonts w:cs="Arial"/>
          <w:bCs/>
        </w:rPr>
      </w:pPr>
      <w:r w:rsidRPr="007F6B3B">
        <w:rPr>
          <w:rFonts w:cs="Arial"/>
          <w:bCs/>
        </w:rPr>
        <w:t>80995 München</w:t>
      </w:r>
    </w:p>
    <w:p w14:paraId="24843AE9" w14:textId="77777777" w:rsidR="00B01B3A" w:rsidRPr="007F6B3B" w:rsidRDefault="00B01B3A" w:rsidP="00B01B3A">
      <w:pPr>
        <w:spacing w:after="0"/>
        <w:ind w:left="142"/>
        <w:rPr>
          <w:rFonts w:cs="Arial"/>
          <w:bCs/>
        </w:rPr>
      </w:pPr>
      <w:r w:rsidRPr="007F6B3B">
        <w:rPr>
          <w:rFonts w:cs="Arial"/>
          <w:bCs/>
        </w:rPr>
        <w:t>Tel. +49 89 189600-0</w:t>
      </w:r>
    </w:p>
    <w:p w14:paraId="7FD4CF23" w14:textId="77777777" w:rsidR="00B01B3A" w:rsidRPr="007F6B3B" w:rsidRDefault="00B01B3A" w:rsidP="00B01B3A">
      <w:pPr>
        <w:spacing w:after="0"/>
        <w:ind w:left="142"/>
        <w:rPr>
          <w:rFonts w:cs="Arial"/>
          <w:bCs/>
        </w:rPr>
      </w:pPr>
      <w:r w:rsidRPr="007F6B3B">
        <w:rPr>
          <w:rFonts w:cs="Arial"/>
          <w:bCs/>
        </w:rPr>
        <w:t>www.silver-atena.de</w:t>
      </w:r>
    </w:p>
    <w:p w14:paraId="221B7165" w14:textId="77777777" w:rsidR="00B01B3A" w:rsidRPr="00204C0F" w:rsidRDefault="00B01B3A" w:rsidP="00B01B3A">
      <w:pPr>
        <w:spacing w:after="0"/>
        <w:ind w:left="142"/>
        <w:rPr>
          <w:color w:val="auto"/>
          <w:sz w:val="22"/>
        </w:rPr>
      </w:pPr>
      <w:r w:rsidRPr="007F6B3B">
        <w:rPr>
          <w:rFonts w:cs="Arial"/>
          <w:bCs/>
        </w:rPr>
        <w:t>info@silver-atena.de</w:t>
      </w:r>
    </w:p>
    <w:p w14:paraId="29B6C16A" w14:textId="77777777" w:rsidR="00B01B3A" w:rsidRDefault="00B01B3A" w:rsidP="005F7AA9">
      <w:pPr>
        <w:sectPr w:rsidR="00B01B3A" w:rsidSect="00B01B3A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D01A777" w14:textId="519EB9CD" w:rsidR="006924B2" w:rsidRPr="00345084" w:rsidRDefault="006924B2" w:rsidP="005F7AA9"/>
    <w:sectPr w:rsidR="006924B2" w:rsidRPr="00345084" w:rsidSect="00B01B3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B2"/>
    <w:rsid w:val="00012465"/>
    <w:rsid w:val="00014E02"/>
    <w:rsid w:val="000515B6"/>
    <w:rsid w:val="00065F92"/>
    <w:rsid w:val="00074D0C"/>
    <w:rsid w:val="00097B46"/>
    <w:rsid w:val="000C1E78"/>
    <w:rsid w:val="000D5849"/>
    <w:rsid w:val="0011185F"/>
    <w:rsid w:val="00151839"/>
    <w:rsid w:val="00163948"/>
    <w:rsid w:val="001A3909"/>
    <w:rsid w:val="001E165E"/>
    <w:rsid w:val="00200AA7"/>
    <w:rsid w:val="00204603"/>
    <w:rsid w:val="00205102"/>
    <w:rsid w:val="0022478D"/>
    <w:rsid w:val="00283A11"/>
    <w:rsid w:val="002C74AD"/>
    <w:rsid w:val="002D6839"/>
    <w:rsid w:val="00304563"/>
    <w:rsid w:val="00332849"/>
    <w:rsid w:val="00343D63"/>
    <w:rsid w:val="00345084"/>
    <w:rsid w:val="0038026B"/>
    <w:rsid w:val="003C5D37"/>
    <w:rsid w:val="003F5F41"/>
    <w:rsid w:val="00416D1F"/>
    <w:rsid w:val="00417D7B"/>
    <w:rsid w:val="004278F9"/>
    <w:rsid w:val="004330A1"/>
    <w:rsid w:val="00461749"/>
    <w:rsid w:val="004D4B49"/>
    <w:rsid w:val="004F63D2"/>
    <w:rsid w:val="005031EC"/>
    <w:rsid w:val="005969E4"/>
    <w:rsid w:val="005A103D"/>
    <w:rsid w:val="005B17E5"/>
    <w:rsid w:val="005C02C3"/>
    <w:rsid w:val="005F3DAC"/>
    <w:rsid w:val="005F7AA9"/>
    <w:rsid w:val="006119C1"/>
    <w:rsid w:val="00613ACF"/>
    <w:rsid w:val="00624924"/>
    <w:rsid w:val="00671B05"/>
    <w:rsid w:val="006924B2"/>
    <w:rsid w:val="006A2793"/>
    <w:rsid w:val="006B587C"/>
    <w:rsid w:val="006C119F"/>
    <w:rsid w:val="00782E8F"/>
    <w:rsid w:val="007A7547"/>
    <w:rsid w:val="007C08E6"/>
    <w:rsid w:val="008076C6"/>
    <w:rsid w:val="00854622"/>
    <w:rsid w:val="00873423"/>
    <w:rsid w:val="00885D74"/>
    <w:rsid w:val="008926B7"/>
    <w:rsid w:val="008A6C38"/>
    <w:rsid w:val="008C00BA"/>
    <w:rsid w:val="008F5A2D"/>
    <w:rsid w:val="008F5B15"/>
    <w:rsid w:val="00941AD9"/>
    <w:rsid w:val="00943FAE"/>
    <w:rsid w:val="009666C9"/>
    <w:rsid w:val="009A5A1D"/>
    <w:rsid w:val="009B4238"/>
    <w:rsid w:val="009D2413"/>
    <w:rsid w:val="009D51AE"/>
    <w:rsid w:val="009F2EC8"/>
    <w:rsid w:val="00A957CE"/>
    <w:rsid w:val="00AC42F2"/>
    <w:rsid w:val="00AD2B36"/>
    <w:rsid w:val="00B01B3A"/>
    <w:rsid w:val="00B070B6"/>
    <w:rsid w:val="00B10056"/>
    <w:rsid w:val="00B25FBC"/>
    <w:rsid w:val="00B77727"/>
    <w:rsid w:val="00BA4C0D"/>
    <w:rsid w:val="00BB3A5E"/>
    <w:rsid w:val="00BD4ACE"/>
    <w:rsid w:val="00BF64BF"/>
    <w:rsid w:val="00C26575"/>
    <w:rsid w:val="00C41EB5"/>
    <w:rsid w:val="00C45CD8"/>
    <w:rsid w:val="00CE739E"/>
    <w:rsid w:val="00CF1899"/>
    <w:rsid w:val="00D85661"/>
    <w:rsid w:val="00D954B9"/>
    <w:rsid w:val="00DB0470"/>
    <w:rsid w:val="00DC2AE6"/>
    <w:rsid w:val="00DD05AC"/>
    <w:rsid w:val="00E4068E"/>
    <w:rsid w:val="00E55D88"/>
    <w:rsid w:val="00EA1703"/>
    <w:rsid w:val="00EB79AB"/>
    <w:rsid w:val="00EE71D4"/>
    <w:rsid w:val="00F213B1"/>
    <w:rsid w:val="00F461C4"/>
    <w:rsid w:val="00F4729A"/>
    <w:rsid w:val="00F72DDC"/>
    <w:rsid w:val="00F82711"/>
    <w:rsid w:val="00F84E55"/>
    <w:rsid w:val="00F9342A"/>
    <w:rsid w:val="00FC295F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9CED"/>
  <w15:chartTrackingRefBased/>
  <w15:docId w15:val="{86064510-59F7-41AB-B327-77A3693F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02C3"/>
    <w:rPr>
      <w:rFonts w:ascii="Arial" w:hAnsi="Arial"/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2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24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24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24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24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24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24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24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24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2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24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24B2"/>
    <w:rPr>
      <w:rFonts w:eastAsiaTheme="majorEastAsia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24B2"/>
    <w:rPr>
      <w:rFonts w:eastAsiaTheme="majorEastAsia" w:cstheme="majorBidi"/>
      <w:color w:val="2E74B5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24B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24B2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24B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24B2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924B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4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24B2"/>
    <w:rPr>
      <w:rFonts w:ascii="Arial" w:hAnsi="Arial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6924B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24B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24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24B2"/>
    <w:rPr>
      <w:rFonts w:ascii="Arial" w:hAnsi="Arial"/>
      <w:i/>
      <w:iCs/>
      <w:color w:val="2E74B5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6924B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F7A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A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461C4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A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A5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3A5E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A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A5E"/>
    <w:rPr>
      <w:rFonts w:ascii="Arial" w:hAnsi="Arial"/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B01B3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kern w:val="0"/>
      <w:szCs w:val="20"/>
      <w:lang w:val="en-GB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er-atena.d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.lachermeier@silver-atena.d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onix.de/?p=674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346ED91B41149A3731418612C9345" ma:contentTypeVersion="18" ma:contentTypeDescription="Ein neues Dokument erstellen." ma:contentTypeScope="" ma:versionID="27fd2615d0142d37e8925c700d325c88">
  <xsd:schema xmlns:xsd="http://www.w3.org/2001/XMLSchema" xmlns:xs="http://www.w3.org/2001/XMLSchema" xmlns:p="http://schemas.microsoft.com/office/2006/metadata/properties" xmlns:ns2="0e18b1bd-9917-41f8-8ced-3d1ddc9198f1" xmlns:ns3="82e44659-2719-4434-8aa2-0885e23ac1c0" targetNamespace="http://schemas.microsoft.com/office/2006/metadata/properties" ma:root="true" ma:fieldsID="f93f26988a9acafabafa8ac0012229e7" ns2:_="" ns3:_="">
    <xsd:import namespace="0e18b1bd-9917-41f8-8ced-3d1ddc9198f1"/>
    <xsd:import namespace="82e44659-2719-4434-8aa2-0885e23a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b1bd-9917-41f8-8ced-3d1ddc919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b0fed68-6da0-4850-90bb-447d04ec8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44659-2719-4434-8aa2-0885e23ac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ff5b6-52ed-4b08-a4f0-cb6d48267634}" ma:internalName="TaxCatchAll" ma:showField="CatchAllData" ma:web="82e44659-2719-4434-8aa2-0885e23ac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44659-2719-4434-8aa2-0885e23ac1c0"/>
    <lcf76f155ced4ddcb4097134ff3c332f xmlns="0e18b1bd-9917-41f8-8ced-3d1ddc9198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B453B-DDC6-4913-9999-B53D7A56B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8b1bd-9917-41f8-8ced-3d1ddc9198f1"/>
    <ds:schemaRef ds:uri="82e44659-2719-4434-8aa2-0885e23ac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1D5CC-0227-4C17-A0B1-6059EEA301D5}">
  <ds:schemaRefs>
    <ds:schemaRef ds:uri="http://schemas.microsoft.com/office/2006/metadata/properties"/>
    <ds:schemaRef ds:uri="http://schemas.microsoft.com/office/infopath/2007/PartnerControls"/>
    <ds:schemaRef ds:uri="82e44659-2719-4434-8aa2-0885e23ac1c0"/>
    <ds:schemaRef ds:uri="0e18b1bd-9917-41f8-8ced-3d1ddc9198f1"/>
  </ds:schemaRefs>
</ds:datastoreItem>
</file>

<file path=customXml/itemProps3.xml><?xml version="1.0" encoding="utf-8"?>
<ds:datastoreItem xmlns:ds="http://schemas.openxmlformats.org/officeDocument/2006/customXml" ds:itemID="{00793F7D-9E7E-45E2-8E7D-71C0945A0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Assystem Germany GmbH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Schoenreiter</dc:creator>
  <cp:keywords/>
  <dc:description/>
  <cp:lastModifiedBy>Wolfgang Lachermeier</cp:lastModifiedBy>
  <cp:revision>7</cp:revision>
  <cp:lastPrinted>2025-01-13T18:14:00Z</cp:lastPrinted>
  <dcterms:created xsi:type="dcterms:W3CDTF">2025-01-13T15:54:00Z</dcterms:created>
  <dcterms:modified xsi:type="dcterms:W3CDTF">2025-01-14T09:17:00Z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0x010100D8B346ED91B41149A3731418612C9345</vt:lpwstr>
  </property>
  <property fmtid="{D5CDD505-2E9C-101B-9397-08002B2CF9AE}" pid="3" name="MediaServiceImageTags">
    <vt:lpwstr/>
  </property>
</Properties>
</file>